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3C" w:rsidRPr="00EB4AE5" w:rsidRDefault="003B653C" w:rsidP="003B653C">
      <w:pPr>
        <w:jc w:val="center"/>
        <w:rPr>
          <w:rFonts w:ascii="Corbel" w:hAnsi="Corbel"/>
          <w:b/>
          <w:sz w:val="24"/>
          <w:szCs w:val="24"/>
        </w:rPr>
      </w:pPr>
      <w:r w:rsidRPr="00EB4AE5">
        <w:rPr>
          <w:rFonts w:ascii="Corbel" w:hAnsi="Corbel"/>
          <w:b/>
          <w:sz w:val="24"/>
          <w:szCs w:val="24"/>
        </w:rPr>
        <w:t>ANEXO I – Proposta</w:t>
      </w:r>
    </w:p>
    <w:p w:rsidR="003B653C" w:rsidRPr="00EB4AE5" w:rsidRDefault="003B653C" w:rsidP="003B653C">
      <w:pPr>
        <w:rPr>
          <w:rFonts w:ascii="Corbel" w:hAnsi="Corbel"/>
          <w:sz w:val="24"/>
          <w:szCs w:val="24"/>
        </w:rPr>
      </w:pPr>
    </w:p>
    <w:tbl>
      <w:tblPr>
        <w:tblStyle w:val="Tabelacomgrade"/>
        <w:tblW w:w="10350" w:type="dxa"/>
        <w:tblInd w:w="-714" w:type="dxa"/>
        <w:tblLook w:val="04A0" w:firstRow="1" w:lastRow="0" w:firstColumn="1" w:lastColumn="0" w:noHBand="0" w:noVBand="1"/>
      </w:tblPr>
      <w:tblGrid>
        <w:gridCol w:w="704"/>
        <w:gridCol w:w="2415"/>
        <w:gridCol w:w="1699"/>
        <w:gridCol w:w="2556"/>
        <w:gridCol w:w="2976"/>
      </w:tblGrid>
      <w:tr w:rsidR="003B653C" w:rsidRPr="00EB4AE5" w:rsidTr="00485E35">
        <w:tc>
          <w:tcPr>
            <w:tcW w:w="704" w:type="dxa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Item</w:t>
            </w:r>
          </w:p>
        </w:tc>
        <w:tc>
          <w:tcPr>
            <w:tcW w:w="2415" w:type="dxa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Descrição</w:t>
            </w:r>
          </w:p>
        </w:tc>
        <w:tc>
          <w:tcPr>
            <w:tcW w:w="1699" w:type="dxa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Vigência</w:t>
            </w:r>
          </w:p>
        </w:tc>
        <w:tc>
          <w:tcPr>
            <w:tcW w:w="2556" w:type="dxa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Valor do Lance Registrado no Compras Governamentais (RS)</w:t>
            </w:r>
          </w:p>
        </w:tc>
        <w:tc>
          <w:tcPr>
            <w:tcW w:w="2976" w:type="dxa"/>
          </w:tcPr>
          <w:p w:rsidR="003B653C" w:rsidRPr="00EB4AE5" w:rsidRDefault="003B653C" w:rsidP="00485E3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Taxa de comissão a ser paga pelo comitente (Administração) ao Leiloeiro Público Oficial, calculada sobre o valor do bem arrematado.</w:t>
            </w:r>
          </w:p>
        </w:tc>
      </w:tr>
      <w:tr w:rsidR="003B653C" w:rsidRPr="00EB4AE5" w:rsidTr="003F79EA">
        <w:trPr>
          <w:trHeight w:val="9615"/>
        </w:trPr>
        <w:tc>
          <w:tcPr>
            <w:tcW w:w="704" w:type="dxa"/>
            <w:vMerge w:val="restart"/>
            <w:vAlign w:val="center"/>
          </w:tcPr>
          <w:p w:rsidR="003B653C" w:rsidRPr="00EB4AE5" w:rsidRDefault="003F79EA" w:rsidP="00485E3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2415" w:type="dxa"/>
            <w:vMerge w:val="restart"/>
          </w:tcPr>
          <w:p w:rsidR="003F79EA" w:rsidRPr="003F79EA" w:rsidRDefault="003F79EA" w:rsidP="003F79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</w:pPr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Contratação de Leiloeiro Público Oficial para a realização de leilão de bens apreendidos – área de abrangência: Região de Foz do Iguaçu (englobando as localidades de: Céu Azul, Entre Rios do Oeste, Itaipulândia, Matelândia, medianeira,</w:t>
            </w:r>
          </w:p>
          <w:p w:rsidR="003F79EA" w:rsidRPr="003F79EA" w:rsidRDefault="003F79EA" w:rsidP="003F79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</w:pPr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Missal,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Ramilândia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, Santa Helena, Santa Terezinha do Itaipu, São Miguel do Iguaçu e </w:t>
            </w:r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lastRenderedPageBreak/>
              <w:t>Serranópolis do Iguaçu), Guaíra e Região (englobando as localidades de: Mercedes e Terra Roxa</w:t>
            </w:r>
            <w:proofErr w:type="gram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) ,</w:t>
            </w:r>
            <w:proofErr w:type="gram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 Cascavel e região (englobando as localidades de: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Anahy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,</w:t>
            </w:r>
          </w:p>
          <w:p w:rsidR="003F79EA" w:rsidRPr="003F79EA" w:rsidRDefault="003F79EA" w:rsidP="003F79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</w:pPr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Boa Vista da Aparecida,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Braganey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, Cafelândia, Campo Bonito, Capitão Leônidas Marques, Cascavel,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Catanduvas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, Corbélia, Diamante do Sul, Espigão Alto do Iguaçu, Guaraniaçu,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Ibema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 xml:space="preserve">, Iguatu, </w:t>
            </w:r>
            <w:proofErr w:type="spellStart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Lindoeste</w:t>
            </w:r>
            <w:proofErr w:type="spellEnd"/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t>, Quedas do Iguaçu, Santa Lúcia, Santa</w:t>
            </w:r>
          </w:p>
          <w:p w:rsidR="003B653C" w:rsidRPr="00EB4AE5" w:rsidRDefault="003F79EA" w:rsidP="003F79E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79EA">
              <w:rPr>
                <w:rFonts w:ascii="Calibri" w:eastAsiaTheme="minorHAnsi" w:hAnsi="Calibri" w:cs="Calibri"/>
                <w:sz w:val="32"/>
                <w:szCs w:val="32"/>
                <w:lang w:eastAsia="en-US"/>
              </w:rPr>
              <w:lastRenderedPageBreak/>
              <w:t>Tereza do Oeste, Três Barras do Paraná)</w:t>
            </w:r>
          </w:p>
        </w:tc>
        <w:tc>
          <w:tcPr>
            <w:tcW w:w="1699" w:type="dxa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lastRenderedPageBreak/>
              <w:t>12 meses</w:t>
            </w:r>
          </w:p>
        </w:tc>
        <w:tc>
          <w:tcPr>
            <w:tcW w:w="2556" w:type="dxa"/>
          </w:tcPr>
          <w:p w:rsidR="003B653C" w:rsidRPr="00EB4AE5" w:rsidRDefault="003B653C" w:rsidP="00485E3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0,0</w:t>
            </w:r>
            <w:r>
              <w:rPr>
                <w:rFonts w:ascii="Corbel" w:hAnsi="Corbel"/>
                <w:sz w:val="24"/>
                <w:szCs w:val="24"/>
              </w:rPr>
              <w:t>01</w:t>
            </w:r>
          </w:p>
        </w:tc>
        <w:tc>
          <w:tcPr>
            <w:tcW w:w="2976" w:type="dxa"/>
          </w:tcPr>
          <w:p w:rsidR="003B653C" w:rsidRPr="00EB4AE5" w:rsidRDefault="003B653C" w:rsidP="00485E3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EB4AE5">
              <w:rPr>
                <w:rFonts w:ascii="Corbel" w:hAnsi="Corbel"/>
                <w:sz w:val="24"/>
                <w:szCs w:val="24"/>
              </w:rPr>
              <w:t>0%</w:t>
            </w:r>
          </w:p>
        </w:tc>
      </w:tr>
      <w:tr w:rsidR="003B653C" w:rsidRPr="00EB4AE5" w:rsidTr="00485E35">
        <w:tc>
          <w:tcPr>
            <w:tcW w:w="704" w:type="dxa"/>
            <w:vMerge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31" w:type="dxa"/>
            <w:gridSpan w:val="3"/>
          </w:tcPr>
          <w:p w:rsidR="003B653C" w:rsidRPr="00EB4AE5" w:rsidRDefault="003B653C" w:rsidP="00485E35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B653C" w:rsidRPr="00EB4AE5" w:rsidRDefault="003B653C" w:rsidP="003B653C">
      <w:pPr>
        <w:rPr>
          <w:rFonts w:ascii="Corbel" w:hAnsi="Corbel"/>
          <w:sz w:val="24"/>
          <w:szCs w:val="24"/>
        </w:rPr>
      </w:pPr>
    </w:p>
    <w:p w:rsidR="003B653C" w:rsidRPr="00EB4AE5" w:rsidRDefault="003B653C" w:rsidP="003B653C">
      <w:pPr>
        <w:pStyle w:val="PargrafodaLista"/>
        <w:numPr>
          <w:ilvl w:val="0"/>
          <w:numId w:val="1"/>
        </w:numPr>
        <w:spacing w:after="160" w:line="259" w:lineRule="auto"/>
        <w:jc w:val="both"/>
        <w:rPr>
          <w:rFonts w:ascii="Corbel" w:hAnsi="Corbel"/>
          <w:sz w:val="24"/>
          <w:szCs w:val="24"/>
        </w:rPr>
      </w:pPr>
      <w:r w:rsidRPr="00EB4AE5">
        <w:rPr>
          <w:rFonts w:ascii="Corbel" w:hAnsi="Corbel"/>
          <w:sz w:val="24"/>
          <w:szCs w:val="24"/>
        </w:rPr>
        <w:t>O Prazo de validade da proposta não será inferior a 60 (sessenta) dias corridos, a contar da data de sua apresentação.</w:t>
      </w:r>
    </w:p>
    <w:p w:rsidR="003B653C" w:rsidRPr="00EB4AE5" w:rsidRDefault="003B653C" w:rsidP="003B653C">
      <w:pPr>
        <w:pStyle w:val="PargrafodaLista"/>
        <w:numPr>
          <w:ilvl w:val="0"/>
          <w:numId w:val="1"/>
        </w:numPr>
        <w:spacing w:after="160" w:line="259" w:lineRule="auto"/>
        <w:jc w:val="both"/>
        <w:rPr>
          <w:rFonts w:ascii="Corbel" w:hAnsi="Corbel"/>
          <w:sz w:val="24"/>
          <w:szCs w:val="24"/>
        </w:rPr>
      </w:pPr>
      <w:r w:rsidRPr="00EB4AE5">
        <w:rPr>
          <w:rFonts w:ascii="Corbel" w:hAnsi="Corbel"/>
          <w:sz w:val="24"/>
          <w:szCs w:val="24"/>
        </w:rPr>
        <w:t>Declaro que estou de pleno acordo com todas as condições estabelecidas no Edital e seus anexos, bem como aceito todas as obrigações e responsabilidades espec</w:t>
      </w:r>
      <w:r w:rsidR="0096656F">
        <w:rPr>
          <w:rFonts w:ascii="Corbel" w:hAnsi="Corbel"/>
          <w:sz w:val="24"/>
          <w:szCs w:val="24"/>
        </w:rPr>
        <w:t>ificadas no Termo de Referência, bem como estrutura de pátio com estrutura para recebimento de mais de 100 veí</w:t>
      </w:r>
      <w:r w:rsidR="00FF1251">
        <w:rPr>
          <w:rFonts w:ascii="Corbel" w:hAnsi="Corbel"/>
          <w:sz w:val="24"/>
          <w:szCs w:val="24"/>
        </w:rPr>
        <w:t>culos simultaneamente na região, com todas as licenças, certidões e seguro.</w:t>
      </w:r>
    </w:p>
    <w:p w:rsidR="003B653C" w:rsidRDefault="003B653C" w:rsidP="003B653C">
      <w:pPr>
        <w:pStyle w:val="PargrafodaLista"/>
        <w:numPr>
          <w:ilvl w:val="0"/>
          <w:numId w:val="1"/>
        </w:numPr>
        <w:spacing w:after="160" w:line="259" w:lineRule="auto"/>
        <w:jc w:val="both"/>
        <w:rPr>
          <w:rFonts w:ascii="Corbel" w:hAnsi="Corbel"/>
          <w:sz w:val="24"/>
          <w:szCs w:val="24"/>
        </w:rPr>
      </w:pPr>
      <w:r w:rsidRPr="00EB4AE5">
        <w:rPr>
          <w:rFonts w:ascii="Corbel" w:hAnsi="Corbel"/>
          <w:sz w:val="24"/>
          <w:szCs w:val="24"/>
        </w:rPr>
        <w:t>Declaro que nos preços cotados estão incluídas todas as despesas que, direta ou indiretamente, façam parte da prestação dos serviços, tais como gastos com suporte técnico e administrativo, impostos, seguro, taxas, tarifas, encargos sociais, trabalhistas, e todas as demais despesas necessárias à execução do objeto.</w:t>
      </w:r>
    </w:p>
    <w:p w:rsidR="00072489" w:rsidRPr="00EB4AE5" w:rsidRDefault="00072489" w:rsidP="003B653C">
      <w:pPr>
        <w:pStyle w:val="PargrafodaLista"/>
        <w:numPr>
          <w:ilvl w:val="0"/>
          <w:numId w:val="1"/>
        </w:numPr>
        <w:spacing w:after="160" w:line="259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Declaro para os devidos fins que possuímos site na </w:t>
      </w:r>
      <w:proofErr w:type="spellStart"/>
      <w:r>
        <w:rPr>
          <w:rFonts w:ascii="Corbel" w:hAnsi="Corbel"/>
          <w:sz w:val="24"/>
          <w:szCs w:val="24"/>
        </w:rPr>
        <w:t>redem</w:t>
      </w:r>
      <w:proofErr w:type="spellEnd"/>
      <w:r>
        <w:rPr>
          <w:rFonts w:ascii="Corbel" w:hAnsi="Corbel"/>
          <w:sz w:val="24"/>
          <w:szCs w:val="24"/>
        </w:rPr>
        <w:t xml:space="preserve"> mundial de computadores, sob o domínio </w:t>
      </w:r>
      <w:hyperlink r:id="rId8" w:history="1">
        <w:r w:rsidRPr="00D7119F">
          <w:rPr>
            <w:rStyle w:val="Hyperlink"/>
            <w:rFonts w:ascii="Corbel" w:hAnsi="Corbel"/>
            <w:sz w:val="24"/>
            <w:szCs w:val="24"/>
          </w:rPr>
          <w:t>www.marangonileiloes.com.br</w:t>
        </w:r>
      </w:hyperlink>
      <w:r w:rsidR="00FF1251">
        <w:rPr>
          <w:rFonts w:ascii="Corbel" w:hAnsi="Corbel"/>
          <w:sz w:val="24"/>
          <w:szCs w:val="24"/>
        </w:rPr>
        <w:t>, com plena capacidade de uso, sendo o principal requisito a habilitação prévia do arrematante para a checagem do cadastro</w:t>
      </w:r>
      <w:r w:rsidR="009D3BBD">
        <w:rPr>
          <w:rFonts w:ascii="Corbel" w:hAnsi="Corbel"/>
          <w:sz w:val="24"/>
          <w:szCs w:val="24"/>
        </w:rPr>
        <w:t xml:space="preserve"> e várias funcionalidades, como lance automático.</w:t>
      </w:r>
      <w:bookmarkStart w:id="0" w:name="_GoBack"/>
      <w:bookmarkEnd w:id="0"/>
    </w:p>
    <w:p w:rsidR="003B653C" w:rsidRPr="00EB4AE5" w:rsidRDefault="003B653C" w:rsidP="003B653C">
      <w:pPr>
        <w:pStyle w:val="PargrafodaLista"/>
        <w:numPr>
          <w:ilvl w:val="0"/>
          <w:numId w:val="1"/>
        </w:numPr>
        <w:spacing w:after="160" w:line="259" w:lineRule="auto"/>
        <w:jc w:val="both"/>
        <w:rPr>
          <w:rFonts w:ascii="Corbel" w:hAnsi="Corbel"/>
          <w:sz w:val="24"/>
          <w:szCs w:val="24"/>
        </w:rPr>
      </w:pPr>
      <w:r w:rsidRPr="00EB4AE5">
        <w:rPr>
          <w:rFonts w:ascii="Corbel" w:hAnsi="Corbel"/>
          <w:sz w:val="24"/>
          <w:szCs w:val="24"/>
        </w:rPr>
        <w:t>Caso seja adjudicado o objeto da licitação, comprometo-me a assinar o contrato no prazo determinado no documento de convocação, e, para esse fim, forneço os seguintes dados:</w:t>
      </w:r>
    </w:p>
    <w:p w:rsidR="003B653C" w:rsidRDefault="003B653C" w:rsidP="003B653C">
      <w:pPr>
        <w:jc w:val="both"/>
        <w:rPr>
          <w:rFonts w:ascii="Corbel" w:hAnsi="Corbel"/>
          <w:b/>
          <w:sz w:val="24"/>
          <w:szCs w:val="24"/>
        </w:rPr>
      </w:pPr>
    </w:p>
    <w:p w:rsidR="003B653C" w:rsidRDefault="003B653C" w:rsidP="003B653C">
      <w:pPr>
        <w:jc w:val="both"/>
        <w:rPr>
          <w:rFonts w:ascii="Corbel" w:hAnsi="Corbel"/>
          <w:b/>
          <w:sz w:val="24"/>
          <w:szCs w:val="24"/>
        </w:rPr>
      </w:pP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Nome do Leiloeiro Público Oficial:</w:t>
      </w:r>
      <w:r w:rsidRPr="00EB19D7">
        <w:rPr>
          <w:rFonts w:ascii="Arial Black" w:hAnsi="Arial Black"/>
          <w:sz w:val="24"/>
          <w:szCs w:val="24"/>
        </w:rPr>
        <w:t xml:space="preserve"> Afonso Marangoni 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CPF:</w:t>
      </w:r>
      <w:r w:rsidRPr="00EB19D7">
        <w:rPr>
          <w:rFonts w:ascii="Arial Black" w:hAnsi="Arial Black"/>
          <w:sz w:val="24"/>
          <w:szCs w:val="24"/>
        </w:rPr>
        <w:t xml:space="preserve"> 214.675.019-72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RG:</w:t>
      </w:r>
      <w:r w:rsidRPr="00EB19D7">
        <w:rPr>
          <w:rFonts w:ascii="Arial Black" w:hAnsi="Arial Black"/>
          <w:sz w:val="24"/>
          <w:szCs w:val="24"/>
        </w:rPr>
        <w:t xml:space="preserve"> 910.144-6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Naturalidade:</w:t>
      </w:r>
      <w:r w:rsidRPr="00EB19D7">
        <w:rPr>
          <w:rFonts w:ascii="Arial Black" w:hAnsi="Arial Black"/>
          <w:sz w:val="24"/>
          <w:szCs w:val="24"/>
        </w:rPr>
        <w:t xml:space="preserve"> Porto União/SC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Nacionalidade:</w:t>
      </w:r>
      <w:r w:rsidRPr="00EB19D7">
        <w:rPr>
          <w:rFonts w:ascii="Arial Black" w:hAnsi="Arial Black"/>
          <w:sz w:val="24"/>
          <w:szCs w:val="24"/>
        </w:rPr>
        <w:t xml:space="preserve"> Brasileira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Número de Inscrição na Junta Comercial:</w:t>
      </w:r>
      <w:r w:rsidRPr="00EB19D7">
        <w:rPr>
          <w:rFonts w:ascii="Arial Black" w:hAnsi="Arial Black"/>
          <w:sz w:val="24"/>
          <w:szCs w:val="24"/>
        </w:rPr>
        <w:t xml:space="preserve"> 12/046-L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Cidade:</w:t>
      </w:r>
      <w:r w:rsidRPr="00EB19D7">
        <w:rPr>
          <w:rFonts w:ascii="Arial Black" w:hAnsi="Arial Black"/>
          <w:sz w:val="24"/>
          <w:szCs w:val="24"/>
        </w:rPr>
        <w:t xml:space="preserve"> Curitiba </w:t>
      </w:r>
      <w:r w:rsidRPr="00EB19D7">
        <w:rPr>
          <w:rFonts w:ascii="Arial Black" w:hAnsi="Arial Black"/>
          <w:sz w:val="24"/>
          <w:szCs w:val="24"/>
        </w:rPr>
        <w:tab/>
      </w:r>
      <w:r w:rsidRPr="00EB19D7">
        <w:rPr>
          <w:rFonts w:ascii="Arial Black" w:hAnsi="Arial Black"/>
          <w:sz w:val="24"/>
          <w:szCs w:val="24"/>
        </w:rPr>
        <w:tab/>
      </w:r>
      <w:r w:rsidRPr="00EB19D7">
        <w:rPr>
          <w:rFonts w:ascii="Arial Black" w:hAnsi="Arial Black"/>
          <w:b/>
          <w:sz w:val="24"/>
          <w:szCs w:val="24"/>
        </w:rPr>
        <w:t>UF:</w:t>
      </w:r>
      <w:r w:rsidRPr="00EB19D7">
        <w:rPr>
          <w:rFonts w:ascii="Arial Black" w:hAnsi="Arial Black"/>
          <w:sz w:val="24"/>
          <w:szCs w:val="24"/>
        </w:rPr>
        <w:t xml:space="preserve"> PR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lastRenderedPageBreak/>
        <w:t>E-mail:</w:t>
      </w:r>
      <w:r w:rsidRPr="00EB19D7">
        <w:rPr>
          <w:rFonts w:ascii="Arial Black" w:hAnsi="Arial Black"/>
          <w:sz w:val="24"/>
          <w:szCs w:val="24"/>
        </w:rPr>
        <w:t xml:space="preserve"> </w:t>
      </w:r>
      <w:r w:rsidR="00310B8C" w:rsidRPr="00EB19D7">
        <w:rPr>
          <w:rFonts w:ascii="Arial Black" w:hAnsi="Arial Black"/>
        </w:rPr>
        <w:t>afonso@marangonileiloes.com.br/afonso.marangoni@gmail.com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Fone/Fax:</w:t>
      </w:r>
      <w:r w:rsidRPr="00EB19D7">
        <w:rPr>
          <w:rFonts w:ascii="Arial Black" w:hAnsi="Arial Black"/>
          <w:sz w:val="24"/>
          <w:szCs w:val="24"/>
        </w:rPr>
        <w:t xml:space="preserve"> </w:t>
      </w:r>
      <w:r w:rsidR="00310B8C" w:rsidRPr="00EB19D7">
        <w:rPr>
          <w:rFonts w:ascii="Arial Black" w:hAnsi="Arial Black"/>
          <w:sz w:val="24"/>
          <w:szCs w:val="24"/>
        </w:rPr>
        <w:t>(41</w:t>
      </w:r>
      <w:r w:rsidRPr="00EB19D7">
        <w:rPr>
          <w:rFonts w:ascii="Arial Black" w:hAnsi="Arial Black"/>
          <w:sz w:val="24"/>
          <w:szCs w:val="24"/>
        </w:rPr>
        <w:t>) 99</w:t>
      </w:r>
      <w:r w:rsidR="00310B8C" w:rsidRPr="00EB19D7">
        <w:rPr>
          <w:rFonts w:ascii="Arial Black" w:hAnsi="Arial Black"/>
          <w:sz w:val="24"/>
          <w:szCs w:val="24"/>
        </w:rPr>
        <w:t>602-1632</w:t>
      </w:r>
      <w:r w:rsidRPr="00EB19D7">
        <w:rPr>
          <w:rFonts w:ascii="Arial Black" w:hAnsi="Arial Black"/>
          <w:sz w:val="24"/>
          <w:szCs w:val="24"/>
        </w:rPr>
        <w:t xml:space="preserve"> / (4</w:t>
      </w:r>
      <w:r w:rsidR="00310B8C" w:rsidRPr="00EB19D7">
        <w:rPr>
          <w:rFonts w:ascii="Arial Black" w:hAnsi="Arial Black"/>
          <w:sz w:val="24"/>
          <w:szCs w:val="24"/>
        </w:rPr>
        <w:t>1</w:t>
      </w:r>
      <w:r w:rsidRPr="00EB19D7">
        <w:rPr>
          <w:rFonts w:ascii="Arial Black" w:hAnsi="Arial Black"/>
          <w:sz w:val="24"/>
          <w:szCs w:val="24"/>
        </w:rPr>
        <w:t xml:space="preserve">) </w:t>
      </w:r>
      <w:r w:rsidR="00310B8C" w:rsidRPr="00EB19D7">
        <w:rPr>
          <w:rFonts w:ascii="Arial Black" w:hAnsi="Arial Black"/>
          <w:sz w:val="24"/>
          <w:szCs w:val="24"/>
        </w:rPr>
        <w:t>99111-1140 / (41</w:t>
      </w:r>
      <w:r w:rsidRPr="00EB19D7">
        <w:rPr>
          <w:rFonts w:ascii="Arial Black" w:hAnsi="Arial Black"/>
          <w:sz w:val="24"/>
          <w:szCs w:val="24"/>
        </w:rPr>
        <w:t xml:space="preserve">) </w:t>
      </w:r>
      <w:r w:rsidR="00310B8C" w:rsidRPr="00EB19D7">
        <w:rPr>
          <w:rFonts w:ascii="Arial Black" w:hAnsi="Arial Black"/>
          <w:sz w:val="24"/>
          <w:szCs w:val="24"/>
        </w:rPr>
        <w:t>3401.6711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b/>
          <w:sz w:val="24"/>
          <w:szCs w:val="24"/>
        </w:rPr>
        <w:t>Banco:</w:t>
      </w:r>
      <w:r w:rsidRPr="00EB19D7">
        <w:rPr>
          <w:rFonts w:ascii="Arial Black" w:hAnsi="Arial Black"/>
          <w:sz w:val="24"/>
          <w:szCs w:val="24"/>
        </w:rPr>
        <w:t xml:space="preserve"> </w:t>
      </w:r>
      <w:proofErr w:type="gramStart"/>
      <w:r w:rsidR="00310B8C" w:rsidRPr="00EB19D7">
        <w:rPr>
          <w:rFonts w:ascii="Arial Black" w:hAnsi="Arial Black"/>
          <w:sz w:val="24"/>
          <w:szCs w:val="24"/>
        </w:rPr>
        <w:t xml:space="preserve">Itaú </w:t>
      </w:r>
      <w:r w:rsidRPr="00EB19D7">
        <w:rPr>
          <w:rFonts w:ascii="Arial Black" w:hAnsi="Arial Black"/>
          <w:sz w:val="24"/>
          <w:szCs w:val="24"/>
        </w:rPr>
        <w:t xml:space="preserve"> </w:t>
      </w:r>
      <w:r w:rsidRPr="00EB19D7">
        <w:rPr>
          <w:rFonts w:ascii="Arial Black" w:hAnsi="Arial Black"/>
          <w:b/>
          <w:sz w:val="24"/>
          <w:szCs w:val="24"/>
        </w:rPr>
        <w:t>Agência</w:t>
      </w:r>
      <w:proofErr w:type="gramEnd"/>
      <w:r w:rsidRPr="00EB19D7">
        <w:rPr>
          <w:rFonts w:ascii="Arial Black" w:hAnsi="Arial Black"/>
          <w:b/>
          <w:sz w:val="24"/>
          <w:szCs w:val="24"/>
        </w:rPr>
        <w:t>:</w:t>
      </w:r>
      <w:r w:rsidRPr="00EB19D7">
        <w:rPr>
          <w:rFonts w:ascii="Arial Black" w:hAnsi="Arial Black"/>
          <w:sz w:val="24"/>
          <w:szCs w:val="24"/>
        </w:rPr>
        <w:t xml:space="preserve"> </w:t>
      </w:r>
      <w:r w:rsidR="00310B8C" w:rsidRPr="00EB19D7">
        <w:rPr>
          <w:rFonts w:ascii="Arial Black" w:hAnsi="Arial Black"/>
          <w:color w:val="000000"/>
          <w:sz w:val="20"/>
          <w:szCs w:val="20"/>
        </w:rPr>
        <w:t xml:space="preserve">7013 </w:t>
      </w:r>
      <w:r w:rsidRPr="00EB19D7">
        <w:rPr>
          <w:rFonts w:ascii="Arial Black" w:hAnsi="Arial Black"/>
          <w:b/>
          <w:sz w:val="24"/>
          <w:szCs w:val="24"/>
        </w:rPr>
        <w:t>C/C:</w:t>
      </w:r>
      <w:r w:rsidRPr="00EB19D7">
        <w:rPr>
          <w:rFonts w:ascii="Arial Black" w:hAnsi="Arial Black"/>
          <w:sz w:val="24"/>
          <w:szCs w:val="24"/>
        </w:rPr>
        <w:t xml:space="preserve">  </w:t>
      </w:r>
      <w:r w:rsidR="00310B8C" w:rsidRPr="00EB19D7">
        <w:rPr>
          <w:rFonts w:ascii="Arial Black" w:hAnsi="Arial Black"/>
          <w:color w:val="000000"/>
          <w:sz w:val="20"/>
          <w:szCs w:val="20"/>
        </w:rPr>
        <w:t>35674-1</w:t>
      </w:r>
    </w:p>
    <w:p w:rsidR="003B653C" w:rsidRPr="00EB19D7" w:rsidRDefault="00310B8C" w:rsidP="003B653C">
      <w:pPr>
        <w:rPr>
          <w:rFonts w:ascii="Arial Black" w:hAnsi="Arial Black"/>
          <w:sz w:val="24"/>
          <w:szCs w:val="24"/>
        </w:rPr>
      </w:pPr>
      <w:r w:rsidRPr="00EB19D7">
        <w:rPr>
          <w:rFonts w:ascii="Arial Black" w:hAnsi="Arial Black"/>
          <w:sz w:val="24"/>
          <w:szCs w:val="24"/>
        </w:rPr>
        <w:t>Curitiba</w:t>
      </w:r>
      <w:r w:rsidR="003B653C" w:rsidRPr="00EB19D7">
        <w:rPr>
          <w:rFonts w:ascii="Arial Black" w:hAnsi="Arial Black"/>
          <w:sz w:val="24"/>
          <w:szCs w:val="24"/>
        </w:rPr>
        <w:t xml:space="preserve">, </w:t>
      </w:r>
      <w:r w:rsidRPr="00EB19D7">
        <w:rPr>
          <w:rFonts w:ascii="Arial Black" w:hAnsi="Arial Black"/>
          <w:sz w:val="24"/>
          <w:szCs w:val="24"/>
        </w:rPr>
        <w:t>22</w:t>
      </w:r>
      <w:r w:rsidR="003B653C" w:rsidRPr="00EB19D7">
        <w:rPr>
          <w:rFonts w:ascii="Arial Black" w:hAnsi="Arial Black"/>
          <w:sz w:val="24"/>
          <w:szCs w:val="24"/>
        </w:rPr>
        <w:t xml:space="preserve"> de abril de 2019.</w:t>
      </w: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</w:p>
    <w:p w:rsidR="003B653C" w:rsidRPr="00EB19D7" w:rsidRDefault="003B653C" w:rsidP="003B653C">
      <w:pPr>
        <w:jc w:val="both"/>
        <w:rPr>
          <w:rFonts w:ascii="Arial Black" w:hAnsi="Arial Black"/>
          <w:sz w:val="24"/>
          <w:szCs w:val="24"/>
        </w:rPr>
      </w:pPr>
    </w:p>
    <w:p w:rsidR="003B653C" w:rsidRPr="00EB19D7" w:rsidRDefault="003B653C" w:rsidP="003B653C">
      <w:pPr>
        <w:spacing w:after="0"/>
        <w:ind w:hanging="1701"/>
        <w:jc w:val="both"/>
        <w:rPr>
          <w:rFonts w:ascii="Arial Black" w:hAnsi="Arial Black" w:cs="Times New Roman"/>
          <w:sz w:val="24"/>
          <w:szCs w:val="24"/>
        </w:rPr>
      </w:pP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  <w:r w:rsidRPr="00EB19D7">
        <w:rPr>
          <w:rFonts w:ascii="Arial Black" w:hAnsi="Arial Black" w:cs="Times New Roman"/>
          <w:sz w:val="24"/>
          <w:szCs w:val="24"/>
        </w:rPr>
        <w:softHyphen/>
      </w: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  <w:r w:rsidRPr="00EB19D7">
        <w:rPr>
          <w:rFonts w:ascii="Arial Black" w:hAnsi="Arial Black" w:cs="Times New Roman"/>
          <w:sz w:val="24"/>
          <w:szCs w:val="24"/>
        </w:rPr>
        <w:t>_________________________________________</w:t>
      </w:r>
    </w:p>
    <w:p w:rsidR="003B653C" w:rsidRPr="00EB19D7" w:rsidRDefault="00310B8C" w:rsidP="003B653C">
      <w:pPr>
        <w:spacing w:after="0" w:line="240" w:lineRule="auto"/>
        <w:jc w:val="center"/>
        <w:rPr>
          <w:rFonts w:ascii="Arial Black" w:hAnsi="Arial Black" w:cs="Times New Roman"/>
          <w:b/>
          <w:sz w:val="24"/>
          <w:szCs w:val="24"/>
        </w:rPr>
      </w:pPr>
      <w:r w:rsidRPr="00EB19D7">
        <w:rPr>
          <w:rFonts w:ascii="Arial Black" w:hAnsi="Arial Black" w:cs="Times New Roman"/>
          <w:b/>
          <w:sz w:val="24"/>
          <w:szCs w:val="24"/>
        </w:rPr>
        <w:t>Afonso Marangoni</w:t>
      </w:r>
    </w:p>
    <w:p w:rsidR="003B653C" w:rsidRPr="00EB19D7" w:rsidRDefault="003B653C" w:rsidP="003B653C">
      <w:pPr>
        <w:spacing w:after="0" w:line="240" w:lineRule="auto"/>
        <w:jc w:val="center"/>
        <w:rPr>
          <w:rFonts w:ascii="Arial Black" w:hAnsi="Arial Black"/>
          <w:b/>
          <w:sz w:val="24"/>
          <w:szCs w:val="24"/>
        </w:rPr>
      </w:pPr>
      <w:r w:rsidRPr="00EB19D7">
        <w:rPr>
          <w:rFonts w:ascii="Arial Black" w:hAnsi="Arial Black" w:cs="Times New Roman"/>
          <w:sz w:val="24"/>
          <w:szCs w:val="24"/>
        </w:rPr>
        <w:t xml:space="preserve">Matrícula nº </w:t>
      </w:r>
      <w:r w:rsidR="00310B8C" w:rsidRPr="00EB19D7">
        <w:rPr>
          <w:rFonts w:ascii="Arial Black" w:hAnsi="Arial Black" w:cs="Times New Roman"/>
          <w:sz w:val="24"/>
          <w:szCs w:val="24"/>
        </w:rPr>
        <w:t>12/046-l</w:t>
      </w:r>
    </w:p>
    <w:p w:rsidR="007C5881" w:rsidRPr="00EB19D7" w:rsidRDefault="005F374D">
      <w:pPr>
        <w:rPr>
          <w:rFonts w:ascii="Arial Black" w:hAnsi="Arial Black"/>
        </w:rPr>
      </w:pPr>
    </w:p>
    <w:sectPr w:rsidR="007C5881" w:rsidRPr="00EB19D7" w:rsidSect="00842709">
      <w:headerReference w:type="default" r:id="rId9"/>
      <w:footerReference w:type="default" r:id="rId10"/>
      <w:pgSz w:w="11906" w:h="16838"/>
      <w:pgMar w:top="284" w:right="1558" w:bottom="720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4D" w:rsidRDefault="005F374D" w:rsidP="00310B8C">
      <w:pPr>
        <w:spacing w:after="0" w:line="240" w:lineRule="auto"/>
      </w:pPr>
      <w:r>
        <w:separator/>
      </w:r>
    </w:p>
  </w:endnote>
  <w:endnote w:type="continuationSeparator" w:id="0">
    <w:p w:rsidR="005F374D" w:rsidRDefault="005F374D" w:rsidP="00310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5F9" w:rsidRDefault="002B3E75" w:rsidP="00EC45F9">
    <w:pPr>
      <w:pStyle w:val="Rodap"/>
      <w:jc w:val="center"/>
    </w:pPr>
    <w:r>
      <w:t>R</w:t>
    </w:r>
    <w:r w:rsidR="00310B8C">
      <w:t>ua Nunes Machado, 68 – Sala Comercial 214</w:t>
    </w:r>
    <w:r>
      <w:t xml:space="preserve"> – </w:t>
    </w:r>
    <w:r w:rsidR="00310B8C">
      <w:t>Centro – Fone: (41) 3306-4382</w:t>
    </w:r>
    <w:r>
      <w:t>-</w:t>
    </w:r>
    <w:r w:rsidR="00310B8C">
      <w:t xml:space="preserve"> </w:t>
    </w:r>
    <w:proofErr w:type="gramStart"/>
    <w:r w:rsidR="00310B8C">
      <w:t>Curitiba  –</w:t>
    </w:r>
    <w:proofErr w:type="gramEnd"/>
    <w:r w:rsidR="00310B8C">
      <w:t xml:space="preserve"> </w:t>
    </w:r>
    <w:proofErr w:type="spellStart"/>
    <w:r w:rsidR="00310B8C">
      <w:t>Pr</w:t>
    </w:r>
    <w:proofErr w:type="spellEnd"/>
    <w:r w:rsidR="00310B8C">
      <w:t xml:space="preserve"> – CEP: 80.250-000</w:t>
    </w:r>
    <w:r>
      <w:t>.</w:t>
    </w:r>
  </w:p>
  <w:p w:rsidR="00EC45F9" w:rsidRDefault="002B3E75" w:rsidP="00EC45F9">
    <w:pPr>
      <w:pStyle w:val="Rodap"/>
      <w:jc w:val="center"/>
    </w:pPr>
    <w:proofErr w:type="gramStart"/>
    <w:r>
      <w:t>e-mail</w:t>
    </w:r>
    <w:proofErr w:type="gramEnd"/>
    <w:r>
      <w:t xml:space="preserve">: </w:t>
    </w:r>
    <w:r w:rsidR="00310B8C">
      <w:t>marangonileiloes@marangonileiloes.com.br</w:t>
    </w:r>
  </w:p>
  <w:p w:rsidR="00EC45F9" w:rsidRDefault="00310B8C" w:rsidP="00EC45F9">
    <w:pPr>
      <w:pStyle w:val="Rodap"/>
      <w:jc w:val="center"/>
    </w:pPr>
    <w:proofErr w:type="gramStart"/>
    <w:r>
      <w:t>site</w:t>
    </w:r>
    <w:proofErr w:type="gramEnd"/>
    <w:r>
      <w:t>: www.marangonileiloes.com.br</w:t>
    </w:r>
  </w:p>
  <w:p w:rsidR="00EC45F9" w:rsidRDefault="005F374D">
    <w:pPr>
      <w:pStyle w:val="Rodap"/>
    </w:pPr>
  </w:p>
  <w:p w:rsidR="00EC45F9" w:rsidRDefault="005F37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4D" w:rsidRDefault="005F374D" w:rsidP="00310B8C">
      <w:pPr>
        <w:spacing w:after="0" w:line="240" w:lineRule="auto"/>
      </w:pPr>
      <w:r>
        <w:separator/>
      </w:r>
    </w:p>
  </w:footnote>
  <w:footnote w:type="continuationSeparator" w:id="0">
    <w:p w:rsidR="005F374D" w:rsidRDefault="005F374D" w:rsidP="00310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A14" w:rsidRDefault="005F374D" w:rsidP="002E4770">
    <w:pPr>
      <w:pStyle w:val="Cabealho"/>
      <w:jc w:val="center"/>
    </w:pPr>
  </w:p>
  <w:p w:rsidR="001C63D5" w:rsidRDefault="005F37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947"/>
    <w:multiLevelType w:val="hybridMultilevel"/>
    <w:tmpl w:val="D9A2B7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3C"/>
    <w:rsid w:val="000309DB"/>
    <w:rsid w:val="00072489"/>
    <w:rsid w:val="000F4B3C"/>
    <w:rsid w:val="002B3E75"/>
    <w:rsid w:val="00310B8C"/>
    <w:rsid w:val="003B653C"/>
    <w:rsid w:val="003F79EA"/>
    <w:rsid w:val="005F374D"/>
    <w:rsid w:val="00757BB7"/>
    <w:rsid w:val="0096656F"/>
    <w:rsid w:val="009D3BBD"/>
    <w:rsid w:val="00E07F17"/>
    <w:rsid w:val="00E551AF"/>
    <w:rsid w:val="00EB19D7"/>
    <w:rsid w:val="00FF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2C377"/>
  <w15:chartTrackingRefBased/>
  <w15:docId w15:val="{C765CA83-8503-496D-AA2A-736718BB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53C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B65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653C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B65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653C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3B653C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3B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3B653C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rsid w:val="003B653C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6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656F"/>
    <w:rPr>
      <w:rFonts w:ascii="Segoe UI" w:eastAsiaTheme="minorEastAsia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angonileiloes.com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21118-9B59-44EF-BF34-0C36217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441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7</cp:revision>
  <cp:lastPrinted>2019-04-22T17:54:00Z</cp:lastPrinted>
  <dcterms:created xsi:type="dcterms:W3CDTF">2019-04-22T17:19:00Z</dcterms:created>
  <dcterms:modified xsi:type="dcterms:W3CDTF">2019-04-22T18:16:00Z</dcterms:modified>
</cp:coreProperties>
</file>